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6"/>
      </w:tblGrid>
      <w:tr w:rsidR="003E4E08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E08" w:rsidRDefault="00931AF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3E4E08" w:rsidRDefault="00931AF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3E4E08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</w:tr>
      <w:tr w:rsidR="003E4E08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3E4E08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3E4E08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3E4E08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</w:tr>
      <w:tr w:rsidR="003E4E0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0"/>
              </w:rPr>
            </w:pPr>
          </w:p>
        </w:tc>
      </w:tr>
      <w:tr w:rsidR="003E4E0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0"/>
              </w:rPr>
            </w:pPr>
          </w:p>
        </w:tc>
      </w:tr>
      <w:tr w:rsidR="003E4E0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0"/>
              </w:rPr>
            </w:pPr>
          </w:p>
        </w:tc>
      </w:tr>
      <w:tr w:rsidR="003E4E0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0"/>
              </w:rPr>
            </w:pPr>
          </w:p>
        </w:tc>
      </w:tr>
      <w:tr w:rsidR="003E4E08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Городское поселение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овохоперск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3E4E08" w:rsidRDefault="00931AF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</w:tr>
      <w:tr w:rsidR="003E4E08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</w:tr>
      <w:tr w:rsidR="003E4E08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городских поселений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3E4E08" w:rsidRDefault="00931AFC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20627101</w:t>
            </w:r>
          </w:p>
        </w:tc>
      </w:tr>
      <w:tr w:rsidR="003E4E08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</w:tr>
      <w:tr w:rsidR="003E4E08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3E4E08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</w:tr>
      <w:tr w:rsidR="003E4E08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</w:tr>
    </w:tbl>
    <w:p w:rsidR="003E4E08" w:rsidRDefault="00931AFC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Раздел 1. Организационная структура субъекта бюджетной отчетности</w:t>
      </w:r>
    </w:p>
    <w:p w:rsidR="003E4E08" w:rsidRDefault="00931AFC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      Администрация городского поселение-город Новохоперского муниципального района Воронежской области является по своему типу казенным учреждением, некоммерческой организацией, осуществляющей исполнение муниципальных функций в целях обеспечения реализа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 предусмотренных законодательством Российской Федерации полномочий органов местного самоуправления (форма табл. №1 пояснительной записки).  </w:t>
      </w:r>
    </w:p>
    <w:p w:rsidR="003E4E08" w:rsidRDefault="00931AFC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Администрация городского поселение-город Новохоперского  муниципального района Воронежской области является испо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лнительно-распорядительным органом местного самоуправления муниципального образования городского поселение-город Новохоперского  муниципального района Воронежской области.</w:t>
      </w:r>
    </w:p>
    <w:p w:rsidR="003E4E08" w:rsidRDefault="00931AFC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Администрация городского поселения не имеет филиалов (обособленных подразделений и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редставительств).</w:t>
      </w:r>
    </w:p>
    <w:p w:rsidR="003E4E08" w:rsidRDefault="00931AFC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ИНН 3617002243  КПП 361701001</w:t>
      </w:r>
    </w:p>
    <w:p w:rsidR="003E4E08" w:rsidRDefault="00931AF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Адрес местонахождения: 397400 Воронежская область, Новохоперский район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г. Новохоперск, ул. Советская ,27.</w:t>
      </w:r>
    </w:p>
    <w:p w:rsidR="003E4E08" w:rsidRDefault="00931AF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Правовую основу деятельности учреждения составляют: Конституция Российской Федерации, законодат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ельство Российской Федерации и Воронежской области,  Устав муниципального образования городского поселение - город Новохоперск Новохоперского муниципального района Воронежской области, утвержденный решением Совета депутатов народных депутатов городского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ород Новохоперск Новохоперского муниципального района Воронежской области от01.08.2012 №7/1.</w:t>
      </w:r>
    </w:p>
    <w:p w:rsidR="003E4E08" w:rsidRDefault="00931AFC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Учредителем и собственником имущества Администрации  городского поселение-город Новохоперск Новохоперского  муниципального района Воронежской является 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ниципальное образование городского поселение-город Новохоперск Новохоперского  муниципального района Воронежской.</w:t>
      </w:r>
    </w:p>
    <w:p w:rsidR="003E4E08" w:rsidRDefault="00931AFC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 городского поселение-город Новохоперск Новохоперского  муниципального района Воронежской является юридическим лицом, может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воего имени приобретать и осуществлять имущественные и личные неимущественные права,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нести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быть истцом и ответчиком в суде.</w:t>
      </w:r>
    </w:p>
    <w:p w:rsidR="003E4E08" w:rsidRDefault="00931AFC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 Администрации городского поселения включает в себя аппарат управления, численность сотрудников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составляет 26 штатных единиц.</w:t>
      </w:r>
    </w:p>
    <w:p w:rsidR="003E4E08" w:rsidRDefault="00931AFC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подведомственных учреждений -2 , МКУ "Культурно-досуговый центр" и МКУ "Хозяйственно-эксплуатационная служба по обслуживанию городского поселения".</w:t>
      </w:r>
    </w:p>
    <w:p w:rsidR="003E4E08" w:rsidRDefault="00931AFC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E4E08" w:rsidRDefault="00931AFC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2. Результаты деятельности субъекта бюджетной отчетности</w:t>
      </w:r>
    </w:p>
    <w:p w:rsidR="003E4E08" w:rsidRDefault="00931AFC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E4E08" w:rsidRDefault="00931AF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Целью деятельности учреждения является осуществление управленческих функций в качестве исполнительного органа местного самоуправления, осуществляющего организационно-распорядительную деятельность по вопросам, отнесенным законодательством к вопросам местн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значения.</w:t>
      </w:r>
    </w:p>
    <w:p w:rsidR="003E4E08" w:rsidRDefault="00931AFC">
      <w:pPr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Высшим должностным лицом Администрации является Глава городского поселение, назначаемый на должность по контракту, заключаемому по результатам конкурса на замещение указанной должности, на срок полномочий пять лет.</w:t>
      </w:r>
      <w:proofErr w:type="gramEnd"/>
    </w:p>
    <w:p w:rsidR="003E4E08" w:rsidRDefault="00931AF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 городского поселени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 Новохоперск осуществляет текущее руководство деятельностью Администрации, подотчетен и подконтролен Совету депутатов по вопросам, отнесенным к компетенции Совета депутатов, представляет Совету депутатов ежегодные отчеты о результатах своей деятельно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 и деятельности администрации, в том числе о решении вопросов, поставленных Советом депутатов, обеспечивает осуществление Администрацией полномочий по решению вопросов местного значения и отдельных государственных полномочий, переданных органам местного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самоуправления федеральными законами  и законами субъекта Российской Федерации.</w:t>
      </w:r>
    </w:p>
    <w:p w:rsidR="003E4E08" w:rsidRDefault="00931AFC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E4E08" w:rsidRDefault="00931AFC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состояния основных фондов.</w:t>
      </w:r>
    </w:p>
    <w:p w:rsidR="003E4E08" w:rsidRDefault="00931AFC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:rsidR="003E4E08" w:rsidRDefault="00931AFC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Остаточная стоимость основных средств на 01 января 2025 года составляет 169 669 783 руб. 88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 основные средства используются по 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елевому назначению. Администрация и структурные подразделения оснащены основными средствами, необходимыми для выполнения полномочий, оказания услуг. Здания администрации и дома культуры оснащены охранной, автоматической пожарной сигнализации и систем опове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щения о пожаре. Администрация и структурные подразделения укомплектованы материальными запасами, необходимыми для выполнения полномочий, оказания услуг.</w:t>
      </w:r>
    </w:p>
    <w:p w:rsidR="003E4E08" w:rsidRDefault="00931AF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Увеличение основных фондов в течение отчетного периода на 17 646 960 руб. 72 коп.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том числе:</w:t>
      </w:r>
    </w:p>
    <w:p w:rsidR="003E4E08" w:rsidRDefault="00931AF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 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мках передачи в собственность городского поселения из собственности районного бюджета имущества на сумму -11 930 960 руб. 72 коп.</w:t>
      </w:r>
    </w:p>
    <w:p w:rsidR="003E4E08" w:rsidRDefault="00931AF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 рамках улучшения материально- технической базы МКУ "Хозяйственно-эксплуатационная служба по обслуживанию городского поселе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ния" в рамках государственной программы Воронежской области "Обеспечение качественными жилищно-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комунальными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услугами населения Воронежской области" была приобретена коммунальная специализированная техника и оборудование, за счет средств областного бюджета,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общую сумму -5 716 000 руб.00 коп. Так же для МКУ "Культурно-досугового центра" в 2024 году за средства областного бюджетов была приобретено музыкальное оборудование на сумму -980 000руб.00 коп.. В течени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была начислена амортизация линейным спосо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бом -98961203руб. 01 коп. на имущество находящиеся в составе муниципальной казны городского поселения не начисляется. В 2024 году в результате передачи прочих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ооружений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состава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муниципальной казны по централизованному управлению было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доначисленно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нениена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сумму  4954902 руб.40 коп. </w:t>
      </w:r>
    </w:p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Остаточная стоимость нефинансовых активов имущества казны на 01.01.2025 г. составила 287265271 руб.43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меньшение имущества казны за 2024 год на 88368351 руб.32 за счет передачи подведомственным учреждениям и в том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исле передано в районный бюджет отдел по управлению муниципальным имуществом и земельным отношениям администрации Новохоперского муниципального района  на сумму - 2867613 руб. 68 коп. (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140120251). Так же в состав казны поступило имущество на сумму 2641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408 руб. 56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Тосов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140110197),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140110199- на сумму 8694063 руб.44коп. оприходован в состав казны земельный участок по решению суда а также квартиры по решению суда и в результате оформления квартир в собственность городского поселения.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140110196 -1443016 руб. 50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зъятие имущества из МКП " Сервис плюс". По 140110172 - 4428511 руб. 10 коп.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ерезвычайные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доходы от операций с активами, списание квартир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аарийном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доме после переселения  и передача квартиры по приватизации.</w:t>
      </w:r>
    </w:p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E4E08" w:rsidRDefault="00931AFC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E4E08" w:rsidRDefault="00931AFC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Анализ отчета об исполнении бюджета субъектом бюджетной отчетности </w:t>
      </w:r>
    </w:p>
    <w:p w:rsidR="003E4E08" w:rsidRDefault="00931AFC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E4E08" w:rsidRDefault="00931AF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об исполнении бюджета городского поселения поселение - город Новохоперск Новохоперского муниципального района Воронежской области с отражением отклонений по доходам бюджета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показателям с исполнением 99,89 процентов от утвержденных годовых назначений по расходам бюджета 97,36  процентов и содержатся в форме 0503164 «Сведения об исполнении бюджета».</w:t>
      </w:r>
    </w:p>
    <w:p w:rsidR="003E4E08" w:rsidRDefault="00931AF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об исполнении мероприятий в рамках целевых программ представлены в фо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рме 0503166.</w:t>
      </w:r>
    </w:p>
    <w:p w:rsidR="003E4E08" w:rsidRDefault="00931AFC">
      <w:pPr>
        <w:ind w:firstLine="700"/>
        <w:jc w:val="both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26"/>
          <w:szCs w:val="26"/>
          <w:u w:val="single"/>
        </w:rPr>
        <w:t>Бюджет</w:t>
      </w:r>
      <w:r>
        <w:rPr>
          <w:rFonts w:ascii="Calibri" w:eastAsia="Calibri" w:hAnsi="Calibri" w:cs="Calibri"/>
          <w:color w:val="000000"/>
          <w:sz w:val="26"/>
          <w:szCs w:val="26"/>
        </w:rPr>
        <w:t xml:space="preserve">  </w:t>
      </w:r>
    </w:p>
    <w:p w:rsidR="003E4E08" w:rsidRDefault="00931AFC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555555"/>
          <w:sz w:val="26"/>
          <w:szCs w:val="26"/>
        </w:rPr>
        <w:t xml:space="preserve">     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собственных полномочий в соответствии с действующим законодательством напрямую зависит от финансовой обеспеченности.</w:t>
      </w:r>
    </w:p>
    <w:p w:rsidR="003E4E08" w:rsidRDefault="00931AFC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 Реализация бюджетной политики в 2024 году осуществлялась исходя из целей и задач, стоящи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перед органами местного самоуправления городского поселения   направленных на улучшение социального положения и благополучия жителей, повышения качества предоставляемых услуг населению.  </w:t>
      </w:r>
    </w:p>
    <w:p w:rsidR="003E4E08" w:rsidRDefault="00931AFC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 xml:space="preserve">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Показателем финансовой устойчивости  бюджета в 2024 году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являлось отсутствие просроченной задолженности по текущим обязательствам и отсутствие долговых обязательств.</w:t>
      </w:r>
    </w:p>
    <w:p w:rsidR="003E4E08" w:rsidRDefault="00931AFC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 xml:space="preserve">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реализации налоговой политики ранее были разработаны и приняты важнейшие документы, обеспечивающие формирование налогооблагаемой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 доходной части городского бюджета:</w:t>
      </w:r>
    </w:p>
    <w:p w:rsidR="003E4E08" w:rsidRDefault="00931AFC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  «О введении в действие земельного налога, установление ставок и сроков уплаты»;</w:t>
      </w:r>
    </w:p>
    <w:p w:rsidR="003E4E08" w:rsidRDefault="00931AFC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«Об установлении налога на имущество физических лиц».</w:t>
      </w:r>
    </w:p>
    <w:p w:rsidR="003E4E08" w:rsidRDefault="00931AFC">
      <w:pPr>
        <w:shd w:val="clear" w:color="auto" w:fill="FFFFFF"/>
        <w:ind w:firstLine="280"/>
        <w:jc w:val="both"/>
        <w:outlineLvl w:val="2"/>
        <w:rPr>
          <w:b/>
          <w:color w:val="000000"/>
          <w:sz w:val="27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>        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Одним из важнейших вопросов  является формирование, утверждение и исп</w:t>
      </w:r>
      <w:r>
        <w:rPr>
          <w:rFonts w:ascii="Calibri" w:eastAsia="Calibri" w:hAnsi="Calibri" w:cs="Calibri"/>
          <w:color w:val="000000"/>
          <w:sz w:val="24"/>
          <w:szCs w:val="24"/>
        </w:rPr>
        <w:t>олнение бюджета поселения.  На 2024 год он  утвержден решением Совета народных депутатов  от 26.12.2023 г. № 116.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  <w:r>
        <w:rPr>
          <w:rFonts w:ascii="Calibri" w:eastAsia="Calibri" w:hAnsi="Calibri" w:cs="Calibri"/>
          <w:color w:val="000000"/>
          <w:sz w:val="24"/>
          <w:szCs w:val="24"/>
        </w:rPr>
        <w:t>Основными доходными источниками бюджета поселения являются налоговые и неналоговые доходы, безвозмездные поступления. Согласно отчету об исп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олнении бюджета (ф. 0503117) доход часть </w:t>
      </w:r>
      <w:proofErr w:type="gramStart"/>
      <w:r>
        <w:rPr>
          <w:rFonts w:ascii="Calibri" w:eastAsia="Calibri" w:hAnsi="Calibri" w:cs="Calibri"/>
          <w:color w:val="000000"/>
          <w:sz w:val="24"/>
          <w:szCs w:val="24"/>
        </w:rPr>
        <w:t>бюджет</w:t>
      </w:r>
      <w:proofErr w:type="gramEnd"/>
      <w:r>
        <w:rPr>
          <w:rFonts w:ascii="Calibri" w:eastAsia="Calibri" w:hAnsi="Calibri" w:cs="Calibri"/>
          <w:color w:val="000000"/>
          <w:sz w:val="24"/>
          <w:szCs w:val="24"/>
        </w:rPr>
        <w:t xml:space="preserve"> а исполнена на сумму 204887820 руб. 05 коп. в том числе собственные дохода городского бюджета исполнены на сумму - 67261265 руб. 15 коп.,  безвозмездные поступления от других бюджетов бюджетной системы РФ - 1</w:t>
      </w:r>
      <w:r>
        <w:rPr>
          <w:rFonts w:ascii="Calibri" w:eastAsia="Calibri" w:hAnsi="Calibri" w:cs="Calibri"/>
          <w:color w:val="000000"/>
          <w:sz w:val="24"/>
          <w:szCs w:val="24"/>
        </w:rPr>
        <w:t>37626554 руб. 90 коп.</w:t>
      </w:r>
    </w:p>
    <w:p w:rsidR="003E4E08" w:rsidRDefault="00931AFC">
      <w:pPr>
        <w:shd w:val="clear" w:color="auto" w:fill="FFFFFF"/>
        <w:ind w:firstLine="280"/>
        <w:jc w:val="both"/>
        <w:outlineLvl w:val="2"/>
        <w:rPr>
          <w:b/>
          <w:color w:val="000000"/>
          <w:sz w:val="27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lastRenderedPageBreak/>
        <w:t xml:space="preserve"> По расходам исполнен в сумме 218629190 руб. 79 коп.,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неисполненые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назначения -5931993 руб. 50коп., данное неисполнение произошло за счет 50 000 руб. резервного фонда органов местного самоуправления, 2933009 руб. 48 коп. ремонт автомо</w:t>
      </w:r>
      <w:r>
        <w:rPr>
          <w:rFonts w:ascii="Calibri" w:eastAsia="Calibri" w:hAnsi="Calibri" w:cs="Calibri"/>
          <w:color w:val="000000"/>
          <w:sz w:val="24"/>
          <w:szCs w:val="24"/>
        </w:rPr>
        <w:t>бильных дорог за счет дорожного фонда городского поселения, так как данные средства поступили в ноябр</w:t>
      </w:r>
      <w:proofErr w:type="gramStart"/>
      <w:r>
        <w:rPr>
          <w:rFonts w:ascii="Calibri" w:eastAsia="Calibri" w:hAnsi="Calibri" w:cs="Calibri"/>
          <w:color w:val="000000"/>
          <w:sz w:val="24"/>
          <w:szCs w:val="24"/>
        </w:rPr>
        <w:t>е-</w:t>
      </w:r>
      <w:proofErr w:type="gramEnd"/>
      <w:r>
        <w:rPr>
          <w:rFonts w:ascii="Calibri" w:eastAsia="Calibri" w:hAnsi="Calibri" w:cs="Calibri"/>
          <w:color w:val="000000"/>
          <w:sz w:val="24"/>
          <w:szCs w:val="24"/>
        </w:rPr>
        <w:t xml:space="preserve"> декабре и проводить торги было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нецелесобразно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99099 руб. 16 коп.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неосвоение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субсидии на </w:t>
      </w:r>
      <w:proofErr w:type="gramStart"/>
      <w:r>
        <w:rPr>
          <w:rFonts w:ascii="Calibri" w:eastAsia="Calibri" w:hAnsi="Calibri" w:cs="Calibri"/>
          <w:color w:val="000000"/>
          <w:sz w:val="24"/>
          <w:szCs w:val="24"/>
        </w:rPr>
        <w:t>переселение граждан из непригодного для проживания жилищного фо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нда, за счет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уменшения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рыночной стоимости аварийного жилищного фонда в рамках судебного процесса по Кирпичной ,38, неисполнение на сумму 2849884,88 в рамках мероприятия в области коммунального хозяйства по разделу 0505, в связи с тем, что в рамках исполнен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ия муниципального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контракто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по разработке ПСД объектов реконструкция водоснабжения городского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поеления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г. Новохоперск, начислена неустойка за</w:t>
      </w:r>
      <w:proofErr w:type="gramEnd"/>
      <w:r>
        <w:rPr>
          <w:rFonts w:ascii="Calibri" w:eastAsia="Calibri" w:hAnsi="Calibri" w:cs="Calibri"/>
          <w:color w:val="000000"/>
          <w:sz w:val="24"/>
          <w:szCs w:val="24"/>
        </w:rPr>
        <w:t xml:space="preserve"> несвоевременное исполнение обязательств  подрядчиком и согласно условиям контракта оплата за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выполненые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работы про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изведена за минусом исчисленной неустойки. </w:t>
      </w:r>
    </w:p>
    <w:p w:rsidR="003E4E08" w:rsidRDefault="00931AFC">
      <w:pPr>
        <w:ind w:firstLine="700"/>
        <w:jc w:val="both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В соответствии с БК РФ бюджет городского поселения - город Новохоперск в  2024 году исполнялся   на основе девяти муниципальных программ, утвержденных распоряжением администрации городского поселения – город 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вохоперск от 14.11.2019г. №226 «Об утверждении перечня муниципальных программ городского поселения – город Новохоперск Новохоперского муниципального района на 2020-2025гг.»: </w:t>
      </w:r>
    </w:p>
    <w:p w:rsidR="003E4E08" w:rsidRDefault="00931AFC">
      <w:pPr>
        <w:rPr>
          <w:color w:val="000000"/>
        </w:rPr>
      </w:pPr>
      <w:bookmarkStart w:id="1" w:name="программы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«Муниципальное управление и гражданское общество городского поселения – город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овохоперск»;</w:t>
      </w:r>
    </w:p>
    <w:p w:rsidR="003E4E08" w:rsidRDefault="00931AF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«Управление муниципальными финансами городского поселения - город Новохоперск»</w:t>
      </w:r>
    </w:p>
    <w:p w:rsidR="003E4E08" w:rsidRDefault="00931AF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«Развитие транспортной системы городского поселения – город Новохоперск»; </w:t>
      </w:r>
    </w:p>
    <w:p w:rsidR="003E4E08" w:rsidRDefault="00931AF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«Развитие инфраструктуры и благоустройство городского поселения - город Новохоперс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к»</w:t>
      </w:r>
    </w:p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 «Энергосбережение и повышение энергетической эффективности»;</w:t>
      </w:r>
    </w:p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«Формирование современной городской среды городского поселения - город Новохоперск»;</w:t>
      </w:r>
    </w:p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«Обеспечение устойчивого сокращения непригодного для проживания жилищного фонда городского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город Новохоперск Новохоперского муниципального района Воронежской области в 2019 - 2025 годах»;</w:t>
      </w:r>
    </w:p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«Культура городского поселения - город Новохоперск»;</w:t>
      </w:r>
    </w:p>
    <w:p w:rsidR="003E4E08" w:rsidRDefault="00931AF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"Реконструкция и строительство сетей, объектов водоснабжения и водоотведения».</w:t>
      </w:r>
    </w:p>
    <w:p w:rsidR="003E4E08" w:rsidRDefault="00931AF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За отчетный перио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сумма бюджетных кредитов из других  районного бюджета составила 11064130 руб.00 коп., 8188130 руб. 00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огашено.</w:t>
      </w:r>
    </w:p>
    <w:p w:rsidR="003E4E08" w:rsidRDefault="00931AF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Бюджетных обязатель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 св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 утвержденного на финансовый год объема бюджетных ассигнований или лимитов бюджетных обязательств нет.</w:t>
      </w:r>
    </w:p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тоянию на 01.01.2025 года задолженность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обязательствам 6822000 руб.00 коп.., остаток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реструктироризирован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проценты по кредитов погашены за 2024 год погашены полностью в сумме - 7304 руб. 31 коп.</w:t>
      </w:r>
    </w:p>
    <w:p w:rsidR="003E4E08" w:rsidRDefault="00931AF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E4E08" w:rsidRDefault="00931AF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4.  Анализ показателей бухгалтерской от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четности субъекта бюджетной отчетности</w:t>
      </w:r>
    </w:p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  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События после отчетной даты, которые подлежат отражению в оборотах 2024 года и отчетности за этот год, не происходили.</w:t>
      </w:r>
    </w:p>
    <w:p w:rsidR="003E4E08" w:rsidRDefault="00931AFC">
      <w:pPr>
        <w:ind w:firstLine="700"/>
        <w:jc w:val="both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«Сведений по дебиторской и кредиторской задолженност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форма 0503169G).</w:t>
      </w:r>
    </w:p>
    <w:p w:rsidR="003E4E08" w:rsidRDefault="00931AF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Дебиторская задолженность на 01.01.2025 г. образовалась в сумме 298205617 руб. 79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уб., в том числе:</w:t>
      </w:r>
    </w:p>
    <w:p w:rsidR="003E4E08" w:rsidRDefault="00931AF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по счету 205.00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образовалась задолженность- 297647259 руб. 63 коп., в том числе по арендной плате за земельные участки от физических и юридических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-41417191 руб. 66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коп.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оходы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будущих периодов от бюджетов других уровней общая сумма- 252136255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92 коп.</w:t>
      </w:r>
    </w:p>
    <w:p w:rsidR="003E4E08" w:rsidRDefault="00931AFC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По счету 206.00 «Расчеты по выданным авансам» дебиторская задолженность сложилась в сумме 102617 руб.53 коп.</w:t>
      </w:r>
    </w:p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 счету 208.00 «Расчеты по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ыданным авансам» дебиторская задолженность  сложилась в сумме 16 705 руб.00 коп. </w:t>
      </w:r>
    </w:p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сету 209.00 </w:t>
      </w:r>
      <w:bookmarkStart w:id="2" w:name="_dx_frag_StartFragment"/>
      <w:bookmarkEnd w:id="2"/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«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Расчеты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 по ущербу имуществу»</w:t>
      </w:r>
      <w:bookmarkStart w:id="3" w:name="_dx_frag_EndFragment"/>
      <w:bookmarkEnd w:id="3"/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отражеа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начисленная неустойка по муниципальному контракту в сумме -439 035 руб.62</w:t>
      </w:r>
    </w:p>
    <w:p w:rsidR="003E4E08" w:rsidRDefault="00931AFC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>  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Кредиторская задолженность на 01.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01.2025г. образовалась в сумме - 1525542 руб.57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том числе:</w:t>
      </w:r>
    </w:p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по счету 302.00 «Расчеты по принятым обязательствам» в сумме 735268,84руб. </w:t>
      </w:r>
    </w:p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 303.00 «Расчеты по платежам в бюджеты» на конец отчетного периода кредиторская задолженность составила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82203,00 руб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</w:t>
      </w:r>
      <w:proofErr w:type="gramEnd"/>
    </w:p>
    <w:p w:rsidR="003E4E08" w:rsidRDefault="00931AFC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E4E08" w:rsidRDefault="00931AFC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> </w:t>
      </w:r>
    </w:p>
    <w:p w:rsidR="003E4E08" w:rsidRDefault="00931AFC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5. Прочие вопросы деятельности субъекта бюджетной отчетности</w:t>
      </w:r>
    </w:p>
    <w:p w:rsidR="003E4E08" w:rsidRDefault="00931AFC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При ведении бюджетного учета администрация городского поселения - город </w:t>
      </w:r>
    </w:p>
    <w:p w:rsidR="003E4E08" w:rsidRDefault="00931AFC">
      <w:pPr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Новохоперск руководствуется Федеральным Законом от 06 декабря 2011 года (ред. от 23.05.2016) № 402 –ФЗ «О бухгалтерском учете», Единым планом счетов бухгалтерского учета для государственных и муниципальных учреждений и Инструкцией по его применению, утверж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денной приказом Министерства финансов Российской Федерации от 19.12.2014 г. № 157н, Планом счетов бюджетного учета и Инструкцией по его применению, утвержденной приказом Министерства финансов Российской Федерации от 06.12.2010г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№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162н,  Приказом МФ РФ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29.12.2011 № 191н «Инструкция о порядке составления и представления годовой, квартальной и месячной бюджетной отчетности об исполнении бюджетов бюджетной системы Российской Федерации», Налоговым кодексом Российской Федерации, приказами учреждений об учетно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политики и другими нормативными документами.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ведения бюджетного учета применяются программа «1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бухгалтерия»,  по начислению заработной платы «1 С заработная плата». </w:t>
      </w:r>
    </w:p>
    <w:tbl>
      <w:tblPr>
        <w:tblW w:w="10425" w:type="dxa"/>
        <w:tblInd w:w="108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25"/>
      </w:tblGrid>
      <w:tr w:rsidR="003E4E08">
        <w:trPr>
          <w:trHeight w:val="315"/>
        </w:trPr>
        <w:tc>
          <w:tcPr>
            <w:tcW w:w="10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Сведения об основных положениях учетной политики (таблица 4) (прилагается).</w:t>
            </w:r>
          </w:p>
        </w:tc>
      </w:tr>
    </w:tbl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Годовая инвентаризация за 2024 год проведена с 15 октября по 15 ноября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распоряжения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 городского поселения - г. Новохоперск от 15.10.202№218, недостач и хищений не выявлено, сведения о проведении инвентаризаций изложены в таблице 6 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рилагается).</w:t>
      </w:r>
    </w:p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подведомственном МКУ "Культурн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досуговый центр" предоставляются платные услуги, доходы зачисляются в бюджет городского поселения по КБК 91411301995130002130и 91411301995130000130,за 2024 год составили 771323 руб.77 коп. Из которых 237600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уб. 00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оходы полученные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врамках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муниципальных услуг и подлежат обложению налогом на прибыль.</w:t>
      </w:r>
    </w:p>
    <w:p w:rsidR="003E4E08" w:rsidRDefault="00931AFC">
      <w:pPr>
        <w:jc w:val="both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судебным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исполнительным документам на 01.01.2025 год нет.</w:t>
      </w:r>
    </w:p>
    <w:p w:rsidR="003E4E08" w:rsidRDefault="00931AFC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> </w:t>
      </w:r>
    </w:p>
    <w:p w:rsidR="003E4E08" w:rsidRDefault="00931AF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связи с отсутствием цифровых показателей, отсутствуют следующие фор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мы:</w:t>
      </w:r>
    </w:p>
    <w:p w:rsidR="003E4E08" w:rsidRDefault="00931AF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E4E08" w:rsidRDefault="00931AFC">
      <w:pPr>
        <w:ind w:firstLine="9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- 0503173 «Сведения об изменении остатков валюты баланса»;</w:t>
      </w:r>
    </w:p>
    <w:p w:rsidR="003E4E08" w:rsidRDefault="00931AF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    - 0503178 «Сведения об остатках денежных средств на счетах получателя»;</w:t>
      </w:r>
    </w:p>
    <w:p w:rsidR="003E4E08" w:rsidRDefault="00931AFC">
      <w:pPr>
        <w:ind w:firstLine="9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E4E08" w:rsidRDefault="00931AFC">
      <w:pPr>
        <w:ind w:firstLine="9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E4E08" w:rsidRDefault="00931AF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Расхождение по консолидированному отчету об исполнении бюджета формы 0503117 с отчетностью Отдела №1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 УФК по Воронежской области формы 0503151 отсутствует.</w:t>
      </w:r>
    </w:p>
    <w:p w:rsidR="003E4E08" w:rsidRDefault="00931AFC">
      <w:pPr>
        <w:rPr>
          <w:color w:val="000000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> </w:t>
      </w:r>
    </w:p>
    <w:p w:rsidR="003E4E08" w:rsidRDefault="00931AFC">
      <w:pPr>
        <w:spacing w:line="360" w:lineRule="auto"/>
        <w:ind w:firstLine="70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> </w:t>
      </w:r>
    </w:p>
    <w:p w:rsidR="003E4E08" w:rsidRDefault="00931AFC">
      <w:pPr>
        <w:ind w:firstLine="720"/>
        <w:jc w:val="both"/>
        <w:rPr>
          <w:color w:val="000000"/>
        </w:rPr>
      </w:pPr>
      <w:r>
        <w:rPr>
          <w:rFonts w:ascii="Calibri" w:eastAsia="Calibri" w:hAnsi="Calibri" w:cs="Calibri"/>
          <w:color w:val="FF0000"/>
          <w:sz w:val="26"/>
          <w:szCs w:val="26"/>
        </w:rPr>
        <w:t> </w:t>
      </w:r>
    </w:p>
    <w:tbl>
      <w:tblPr>
        <w:tblW w:w="939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040"/>
        <w:gridCol w:w="3780"/>
      </w:tblGrid>
      <w:tr w:rsidR="003E4E08">
        <w:trPr>
          <w:trHeight w:val="281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E4E08">
        <w:trPr>
          <w:trHeight w:val="281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3E4E08">
        <w:trPr>
          <w:trHeight w:val="281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E08">
        <w:trPr>
          <w:trHeight w:val="281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3E4E08" w:rsidRDefault="00931AFC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3E4E08" w:rsidRDefault="00931AFC">
      <w:r>
        <w:t> </w:t>
      </w:r>
    </w:p>
    <w:p w:rsidR="003E4E08" w:rsidRDefault="00931AF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040"/>
        <w:gridCol w:w="3770"/>
      </w:tblGrid>
      <w:tr w:rsidR="003E4E08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3E4E08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3E4E08"/>
        </w:tc>
      </w:tr>
      <w:tr w:rsidR="003E4E08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E4E08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931AF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E08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3E4E08">
            <w:pPr>
              <w:rPr>
                <w:sz w:val="24"/>
              </w:rPr>
            </w:pPr>
          </w:p>
        </w:tc>
      </w:tr>
      <w:tr w:rsidR="003E4E08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E4E08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</w:tr>
      <w:tr w:rsidR="003E4E08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4E08" w:rsidRDefault="003E4E08">
            <w:pPr>
              <w:rPr>
                <w:sz w:val="24"/>
              </w:rPr>
            </w:pPr>
          </w:p>
        </w:tc>
      </w:tr>
      <w:tr w:rsidR="003E4E08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E4E08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931AF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3E4E08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E08" w:rsidRDefault="003E4E08">
            <w:pPr>
              <w:rPr>
                <w:sz w:val="24"/>
              </w:rPr>
            </w:pPr>
          </w:p>
        </w:tc>
      </w:tr>
    </w:tbl>
    <w:p w:rsidR="003E4E08" w:rsidRDefault="00931AFC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3E4E08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08"/>
    <w:rsid w:val="003E4E08"/>
    <w:rsid w:val="0093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2324</Words>
  <Characters>13250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2025-04-04T12:07:00Z</dcterms:created>
  <dcterms:modified xsi:type="dcterms:W3CDTF">2025-04-04T12:07:00Z</dcterms:modified>
</cp:coreProperties>
</file>